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3">
      <w:pPr>
        <w:pageBreakBefore w:val="0"/>
        <w:ind w:left="1176" w:right="1354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CONTRATO SOCIAL NOS TERMOS DA LEI </w:t>
      </w:r>
    </w:p>
    <w:p w14:paraId="00000004">
      <w:pPr>
        <w:pageBreakBefore w:val="0"/>
        <w:ind w:left="1176" w:right="1354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>
        <w:rPr>
          <w:rtl w:val="0"/>
        </w:rPr>
      </w:r>
    </w:p>
    <w:p w14:paraId="00000005">
      <w:pPr>
        <w:pageBreakBefore w:val="0"/>
        <w:ind w:left="1176" w:right="1354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10.406/02, DE SOCIEDADE SIMPLES LTDA.</w:t>
      </w:r>
      <w:r>
        <w:rPr>
          <w:rtl w:val="0"/>
        </w:rPr>
      </w:r>
    </w:p>
    <w:p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7">
      <w:pPr>
        <w:pageBreakBefore w:val="0"/>
        <w:spacing w:before="98" w:lineRule="auto"/>
        <w:ind w:left="1165" w:right="1354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CONTRATO SOCIAL DA (COLOCAR DENOMINAÇÃO SOCIAL)</w:t>
      </w:r>
    </w:p>
    <w:p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9">
      <w:pPr>
        <w:pageBreakBefore w:val="0"/>
        <w:ind w:left="171" w:right="349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A">
      <w:pPr>
        <w:pageBreakBefore w:val="0"/>
        <w:ind w:left="171" w:right="349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B">
      <w:pPr>
        <w:pageBreakBefore w:val="0"/>
        <w:widowControl w:val="1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FULANO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brasileiro, estado civil, profissão, Identidade nº , Órgão expedidor ______, CPF-MF, residente e domiciliado  na _______________________ (endereço completo, inclusive CEP);</w:t>
      </w:r>
    </w:p>
    <w:p w14:paraId="0000000C">
      <w:pPr>
        <w:pageBreakBefore w:val="0"/>
        <w:widowControl w:val="1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D">
      <w:pPr>
        <w:pageBreakBefore w:val="0"/>
        <w:widowControl w:val="1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BELTRANO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brasileiro, estado civil, profissão, Identidade nº , Órgão expedidor ______, CPF-MF, residente e domiciliado na _______________________ (endereço completo, inclusive CEP);</w:t>
      </w:r>
    </w:p>
    <w:p w14:paraId="0000000E">
      <w:pPr>
        <w:pageBreakBefore w:val="0"/>
        <w:widowControl w:val="1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F">
      <w:pPr>
        <w:pageBreakBefore w:val="0"/>
        <w:widowControl w:val="1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SICRANO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brasileiro, estado civil, profissão, Identidade nº , Órgão expedidor ______, CPF-MF, residente e domiciliado na _______________________ (endereço completo, inclusive CEP);</w:t>
      </w:r>
    </w:p>
    <w:p w14:paraId="00000010">
      <w:pPr>
        <w:pageBreakBefore w:val="0"/>
        <w:widowControl w:val="1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1">
      <w:pPr>
        <w:pageBreakBefore w:val="0"/>
        <w:widowControl w:val="1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RESOLVEM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de comum acordo, por este instrumento particular, constituir uma SOCIEDADE SIMPLES LIMITADA, que reger-se-á pelas cláusulas e condições seguintes, e nas omissões, pela legislação especifica que disciplina essa forma societária.</w:t>
      </w:r>
    </w:p>
    <w:p w14:paraId="00000012">
      <w:pPr>
        <w:pStyle w:val="Heading1"/>
        <w:pageBreakBefore w:val="0"/>
        <w:spacing w:before="49" w:lineRule="auto"/>
        <w:ind w:left="142"/>
        <w:jc w:val="both"/>
        <w:rPr>
          <w:rFonts w:ascii="Calibri" w:cs="Calibri" w:eastAsia="Calibri" w:hAnsi="Calibri"/>
          <w:sz w:val="24"/>
          <w:szCs w:val="24"/>
          <w:u w:val="single"/>
        </w:rPr>
      </w:pPr>
      <w:r>
        <w:rPr>
          <w:rtl w:val="0"/>
        </w:rPr>
      </w:r>
    </w:p>
    <w:p w14:paraId="00000013">
      <w:pPr>
        <w:pStyle w:val="Heading1"/>
        <w:pageBreakBefore w:val="0"/>
        <w:spacing w:before="49" w:lineRule="auto"/>
        <w:ind w:left="142"/>
        <w:jc w:val="both"/>
        <w:rPr>
          <w:rFonts w:ascii="Calibri" w:cs="Calibri" w:eastAsia="Calibri" w:hAnsi="Calibri"/>
          <w:sz w:val="24"/>
          <w:szCs w:val="24"/>
          <w:u w:val="single"/>
        </w:rPr>
      </w:pPr>
      <w:r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CLÁUSULA  PRIMEIRA – DA DENOMINAÇÃO, SEDE E PRAZO (CC. ART. 997, II)</w:t>
      </w:r>
    </w:p>
    <w:p w14:paraId="00000014">
      <w:pPr>
        <w:pStyle w:val="Heading1"/>
        <w:pageBreakBefore w:val="0"/>
        <w:spacing w:before="49" w:lineRule="auto"/>
        <w:ind w:left="142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5">
      <w:pPr>
        <w:pageBreakBefore w:val="0"/>
        <w:spacing w:before="108" w:lineRule="auto"/>
        <w:ind w:left="171" w:right="455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A presente sociedade girará sob a denominação/firma social de </w:t>
      </w:r>
      <w:r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(vide art. 997, inciso II, combinado   com 1.158, inciso II, do NCC)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e terá sede e domicilio na </w:t>
      </w: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(endereço completo: tipo, e nome do logradouro, número, complemento, bairro/distrito, município, Unidade Federativa e CEP. art. 997, II, do NCC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), tendo inicio de suas atividades na presente data, e seu prazo de duração será por tempo indeterminado,</w:t>
        <w:tab/>
        <w:t xml:space="preserve">podendo  a  qualquer  tempo,  abrir  ou  fechar  filial ou outra dependência, mediante alteração contratual assinada por todos os sócios.</w:t>
      </w:r>
    </w:p>
    <w:p w14:paraId="00000016">
      <w:pPr>
        <w:pStyle w:val="Heading1"/>
        <w:pageBreakBefore w:val="0"/>
        <w:spacing w:before="142" w:lineRule="auto"/>
        <w:ind w:left="142" w:right="1351"/>
        <w:jc w:val="both"/>
        <w:rPr>
          <w:rFonts w:ascii="Calibri" w:cs="Calibri" w:eastAsia="Calibri" w:hAnsi="Calibri"/>
          <w:sz w:val="24"/>
          <w:szCs w:val="24"/>
          <w:u w:val="single"/>
        </w:rPr>
      </w:pPr>
      <w:r>
        <w:rPr>
          <w:rtl w:val="0"/>
        </w:rPr>
      </w:r>
    </w:p>
    <w:p w14:paraId="00000017">
      <w:pPr>
        <w:pStyle w:val="Heading1"/>
        <w:pageBreakBefore w:val="0"/>
        <w:spacing w:before="142" w:lineRule="auto"/>
        <w:ind w:left="142" w:right="1351"/>
        <w:jc w:val="both"/>
        <w:rPr>
          <w:rFonts w:ascii="Calibri" w:cs="Calibri" w:eastAsia="Calibri" w:hAnsi="Calibri"/>
          <w:sz w:val="24"/>
          <w:szCs w:val="24"/>
          <w:u w:val="single"/>
        </w:rPr>
      </w:pPr>
      <w:r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CLÁUSULA  SEGUNDA – DO OBJETO SOCIAL (CC. ART. 997, II)</w:t>
      </w:r>
    </w:p>
    <w:p w14:paraId="00000018">
      <w:pPr>
        <w:pStyle w:val="Heading1"/>
        <w:pageBreakBefore w:val="0"/>
        <w:spacing w:before="142" w:lineRule="auto"/>
        <w:ind w:left="142" w:right="1351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9">
      <w:pPr>
        <w:pageBreakBefore w:val="0"/>
        <w:spacing w:before="46" w:lineRule="auto"/>
        <w:ind w:left="257"/>
        <w:jc w:val="both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A sociedade terá como o objetivo social a prestação de serviços de:  </w:t>
      </w:r>
      <w:r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(o objeto deverá ser claro, detalhado e preciso).</w:t>
      </w:r>
    </w:p>
    <w:p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1B">
      <w:pPr>
        <w:pStyle w:val="Heading1"/>
        <w:pageBreakBefore w:val="0"/>
        <w:spacing w:before="121" w:lineRule="auto"/>
        <w:ind w:left="142"/>
        <w:jc w:val="both"/>
        <w:rPr>
          <w:rFonts w:ascii="Calibri" w:cs="Calibri" w:eastAsia="Calibri" w:hAnsi="Calibri"/>
          <w:sz w:val="24"/>
          <w:szCs w:val="24"/>
          <w:u w:val="single"/>
        </w:rPr>
      </w:pPr>
      <w:r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CLÁUSULA TERCEIRA – DO CAPITAL SOCIAL (CC. ART. 997, III e IV) </w:t>
      </w:r>
    </w:p>
    <w:p w14:paraId="0000001C">
      <w:pPr>
        <w:pStyle w:val="Heading1"/>
        <w:pageBreakBefore w:val="0"/>
        <w:spacing w:before="121" w:lineRule="auto"/>
        <w:ind w:left="142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D">
      <w:pPr>
        <w:pageBreakBefore w:val="0"/>
        <w:spacing w:before="85" w:lineRule="auto"/>
        <w:ind w:left="171" w:right="359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O capital social é de </w:t>
      </w:r>
      <w:r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(vide art. 997, inciso III do NCC)</w:t>
      </w:r>
      <w:r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, 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totalmente subscrito e integralizado em moeda </w:t>
      </w:r>
      <w:r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corrente 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nacional, dividido em </w:t>
      </w:r>
      <w:r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(colocar numero de quotas) quotas no valor de (colocar valor correspondente) 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cada uma e com a seguinte distribuição:</w:t>
      </w:r>
    </w:p>
    <w:p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5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tbl>
      <w:tblPr>
        <w:tblStyle w:val="Table1"/>
        <w:tblW w:w="8900.0" w:type="dxa"/>
        <w:jc w:val="left"/>
        <w:tblInd w:w="10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861"/>
        <w:gridCol w:w="3005"/>
        <w:gridCol w:w="3034"/>
        <w:tblGridChange w:id="0">
          <w:tblGrid>
            <w:gridCol w:w="2861"/>
            <w:gridCol w:w="3005"/>
            <w:gridCol w:w="3034"/>
          </w:tblGrid>
        </w:tblGridChange>
      </w:tblGrid>
      <w:tr>
        <w:trPr>
          <w:cantSplit w:val="0"/>
          <w:trHeight w:val="420" w:hRule="atLeast"/>
          <w:tblHeader w:val="0"/>
        </w:trPr>
        <w:tc>
          <w:tcPr/>
          <w:p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hanging="57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sócio</w:t>
            </w:r>
          </w:p>
        </w:tc>
        <w:tc>
          <w:tcPr/>
          <w:p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hanging="57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quotas</w:t>
            </w:r>
          </w:p>
        </w:tc>
        <w:tc>
          <w:tcPr/>
          <w:p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hanging="57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14:paraId="00000022">
            <w:pPr>
              <w:pageBreakBefore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>
              <w:rPr>
                <w:rtl w:val="0"/>
              </w:rPr>
            </w:r>
          </w:p>
        </w:tc>
        <w:tc>
          <w:tcPr/>
          <w:p w14:paraId="00000023">
            <w:pPr>
              <w:pageBreakBefore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>
              <w:rPr>
                <w:rtl w:val="0"/>
              </w:rPr>
            </w:r>
          </w:p>
        </w:tc>
        <w:tc>
          <w:tcPr/>
          <w:p w14:paraId="00000024">
            <w:pPr>
              <w:pageBreakBefore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14:paraId="00000025">
            <w:pPr>
              <w:pageBreakBefore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>
              <w:rPr>
                <w:rtl w:val="0"/>
              </w:rPr>
            </w:r>
          </w:p>
        </w:tc>
        <w:tc>
          <w:tcPr/>
          <w:p w14:paraId="00000026">
            <w:pPr>
              <w:pageBreakBefore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>
              <w:rPr>
                <w:rtl w:val="0"/>
              </w:rPr>
            </w:r>
          </w:p>
        </w:tc>
        <w:tc>
          <w:tcPr/>
          <w:p w14:paraId="00000027">
            <w:pPr>
              <w:pageBreakBefore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hanging="57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Geral</w:t>
            </w:r>
          </w:p>
        </w:tc>
        <w:tc>
          <w:tcPr/>
          <w:p w14:paraId="00000029">
            <w:pPr>
              <w:pageBreakBefore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>
              <w:rPr>
                <w:rtl w:val="0"/>
              </w:rPr>
            </w:r>
          </w:p>
        </w:tc>
        <w:tc>
          <w:tcPr/>
          <w:p w14:paraId="0000002A">
            <w:pPr>
              <w:pageBreakBefore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</w:tbl>
    <w:p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2C">
      <w:pPr>
        <w:pStyle w:val="Heading1"/>
        <w:pageBreakBefore w:val="0"/>
        <w:spacing w:before="1" w:lineRule="auto"/>
        <w:ind w:left="142" w:right="1351"/>
        <w:jc w:val="both"/>
        <w:rPr>
          <w:rFonts w:ascii="Calibri" w:cs="Calibri" w:eastAsia="Calibri" w:hAnsi="Calibri"/>
          <w:sz w:val="24"/>
          <w:szCs w:val="24"/>
          <w:u w:val="single"/>
        </w:rPr>
      </w:pPr>
      <w:r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CLÁUSULA QUARTA – DA ADMINISTRAÇÃO (CC. ART. 997, VI e ART. 46, III)</w:t>
      </w:r>
    </w:p>
    <w:p w14:paraId="0000002D">
      <w:pPr>
        <w:pStyle w:val="Heading1"/>
        <w:pageBreakBefore w:val="0"/>
        <w:spacing w:before="1" w:lineRule="auto"/>
        <w:ind w:left="142" w:right="1351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" w:line="240" w:lineRule="auto"/>
        <w:ind w:left="113" w:right="12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administração da sociedade caberá a (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indicar a (s) pessoa(s) natural (is) que administrará (ão) a sociedade, com a devida qualificação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em conjunto ou isoladamente, respondendo pelos atos societários e sua representação ativa e passivamente, judicial e extrajudicialmente, podendo praticar os atos compreendidos no objeto social, sempre no interesse da sociedade, ficando vedado o uso da denominação social em negócios estranhos aos fins sociais, bem com onerar ou alienar bens imóveis da sociedade, sem autorização do(s) outro(s) sócio(s).</w:t>
      </w:r>
    </w:p>
    <w:p w14:paraId="0000002F">
      <w:pPr>
        <w:pStyle w:val="Heading1"/>
        <w:pageBreakBefore w:val="0"/>
        <w:ind w:left="0" w:right="1332"/>
        <w:jc w:val="both"/>
        <w:rPr>
          <w:rFonts w:ascii="Calibri" w:cs="Calibri" w:eastAsia="Calibri" w:hAnsi="Calibri"/>
          <w:b w:val="0"/>
          <w:bCs w:val="0"/>
          <w:sz w:val="24"/>
          <w:szCs w:val="24"/>
        </w:rPr>
      </w:pPr>
      <w:r>
        <w:rPr>
          <w:rtl w:val="0"/>
        </w:rPr>
      </w:r>
    </w:p>
    <w:p w14:paraId="00000030">
      <w:pPr>
        <w:pStyle w:val="Heading1"/>
        <w:pageBreakBefore w:val="0"/>
        <w:ind w:left="142" w:right="1332"/>
        <w:jc w:val="both"/>
        <w:rPr>
          <w:rFonts w:ascii="Calibri" w:cs="Calibri" w:eastAsia="Calibri" w:hAnsi="Calibri"/>
          <w:sz w:val="24"/>
          <w:szCs w:val="24"/>
          <w:u w:val="single"/>
        </w:rPr>
      </w:pPr>
      <w:r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CLÁUSULA QUINTA – DA DECLARAÇÃO DE DESIMPEDIMENTO DO ADMINISTRADOR</w:t>
      </w:r>
    </w:p>
    <w:p w14:paraId="00000031">
      <w:pPr>
        <w:pStyle w:val="Heading1"/>
        <w:pageBreakBefore w:val="0"/>
        <w:ind w:left="142" w:right="1332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" w:line="240" w:lineRule="auto"/>
        <w:ind w:left="171" w:right="363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(s) Administrador (es) declara (m), sob as penas da lei, de que não est(ão) impedidos de exercer a administração da sociedade, por lei especial, ou em virtude de condenação criminal, ou por se encontrar(em) sob os efeitos dela, a pena que vede, ainda que temporariamente, o acesso a cargos públicos; ou por crime falimentar, de prevaricação, peita ou suborno, concussão, peculato, ou contra a economia popular, contra o sistema financeiro nacional, contra normas de defesa da concorrência, contra as relações de consumo, fé pública, ou a propriedade, nos termos do Código Civil, art. 1.011, parágrafo primeiro.</w:t>
      </w:r>
    </w:p>
    <w:p w14:paraId="00000033">
      <w:pPr>
        <w:pStyle w:val="Heading1"/>
        <w:pageBreakBefore w:val="0"/>
        <w:spacing w:before="105" w:lineRule="auto"/>
        <w:ind w:left="0" w:right="1332"/>
        <w:jc w:val="both"/>
        <w:rPr>
          <w:rFonts w:ascii="Calibri" w:cs="Calibri" w:eastAsia="Calibri" w:hAnsi="Calibri"/>
          <w:b w:val="0"/>
          <w:bCs w:val="0"/>
          <w:sz w:val="24"/>
          <w:szCs w:val="24"/>
        </w:rPr>
      </w:pPr>
      <w:r>
        <w:rPr>
          <w:rtl w:val="0"/>
        </w:rPr>
      </w:r>
    </w:p>
    <w:p w14:paraId="00000034">
      <w:pPr>
        <w:pStyle w:val="Heading1"/>
        <w:pageBreakBefore w:val="0"/>
        <w:spacing w:before="105" w:lineRule="auto"/>
        <w:ind w:left="142" w:right="1332"/>
        <w:jc w:val="both"/>
        <w:rPr>
          <w:rFonts w:ascii="Calibri" w:cs="Calibri" w:eastAsia="Calibri" w:hAnsi="Calibri"/>
          <w:sz w:val="24"/>
          <w:szCs w:val="24"/>
          <w:u w:val="single"/>
        </w:rPr>
      </w:pPr>
      <w:r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CLÁUSULA SEXTA – DOS BALANÇOS E DOS RESULTADOS (CC. ART. 997, VII)</w:t>
      </w:r>
    </w:p>
    <w:p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" w:line="240" w:lineRule="auto"/>
        <w:ind w:left="171" w:right="35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" w:line="240" w:lineRule="auto"/>
        <w:ind w:left="171" w:right="35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 término da cada exercício social, em 31 de dezembro, o administrador prestará contas justificadas de sua administração, procedendo à elaboração do inventário, do balanço patrimonial e do balanço de resultado econômico, cabendo aos sócios, na proporção de suas quotas, os lucros ou perdas apurados.</w:t>
      </w:r>
    </w:p>
    <w:p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" w:right="455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Parágrafo Primeiro 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Nos quatro meses seguintes ao término do exercício social, os sócios deliberarão sobre as contas e designarão administrador (es) quando for o caso, averbando a respectiva ata junto ao registro competente.</w:t>
      </w:r>
    </w:p>
    <w:p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" w:right="41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Parágrafo Segundo 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Os sócios poderão, de comum acordo, fixar uma retirada mensal, a título de “pro labore”, observadas as disposições regulamentares pertinentes.</w:t>
      </w:r>
    </w:p>
    <w:p w14:paraId="0000003B">
      <w:pPr>
        <w:pStyle w:val="Heading1"/>
        <w:pageBreakBefore w:val="0"/>
        <w:spacing w:before="143" w:lineRule="auto"/>
        <w:ind w:left="0" w:right="1341"/>
        <w:jc w:val="both"/>
        <w:rPr>
          <w:rFonts w:ascii="Calibri" w:cs="Calibri" w:eastAsia="Calibri" w:hAnsi="Calibri"/>
          <w:sz w:val="24"/>
          <w:szCs w:val="24"/>
          <w:u w:val="single"/>
        </w:rPr>
      </w:pPr>
      <w:r>
        <w:rPr>
          <w:rtl w:val="0"/>
        </w:rPr>
      </w:r>
    </w:p>
    <w:p w14:paraId="0000003C">
      <w:pPr>
        <w:pStyle w:val="Heading1"/>
        <w:pageBreakBefore w:val="0"/>
        <w:spacing w:before="143" w:lineRule="auto"/>
        <w:ind w:left="142" w:right="1341"/>
        <w:jc w:val="both"/>
        <w:rPr>
          <w:rFonts w:ascii="Calibri" w:cs="Calibri" w:eastAsia="Calibri" w:hAnsi="Calibri"/>
          <w:sz w:val="24"/>
          <w:szCs w:val="24"/>
          <w:u w:val="single"/>
        </w:rPr>
      </w:pPr>
      <w:r>
        <w:rPr>
          <w:rtl w:val="0"/>
        </w:rPr>
      </w:r>
    </w:p>
    <w:p w14:paraId="0000003D">
      <w:pPr>
        <w:pStyle w:val="Heading1"/>
        <w:pageBreakBefore w:val="0"/>
        <w:spacing w:before="143" w:lineRule="auto"/>
        <w:ind w:left="142" w:right="1341"/>
        <w:jc w:val="both"/>
        <w:rPr>
          <w:rFonts w:ascii="Calibri" w:cs="Calibri" w:eastAsia="Calibri" w:hAnsi="Calibri"/>
          <w:sz w:val="24"/>
          <w:szCs w:val="24"/>
          <w:u w:val="single"/>
        </w:rPr>
      </w:pPr>
      <w:r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CLÁUSULA SÉTIMA – DAS QUOTAS</w:t>
      </w:r>
    </w:p>
    <w:p w14:paraId="0000003E">
      <w:pPr>
        <w:pStyle w:val="Heading1"/>
        <w:pageBreakBefore w:val="0"/>
        <w:spacing w:before="143" w:lineRule="auto"/>
        <w:ind w:left="0" w:right="1341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" w:line="240" w:lineRule="auto"/>
        <w:ind w:left="171" w:right="353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quotas são indivisíveis e não poderão ser cedidas ou transferidas a terceiros sem o consentimento do outro sócio, a quem fica assegurado, em igualdade de condições e preço direito de preferência para a sua aquisição se postas à venda, formalizando, se realizada a cessão delas, a alteração contratual pertinente.</w:t>
      </w:r>
    </w:p>
    <w:p w14:paraId="00000040">
      <w:pPr>
        <w:pageBreakBefore w:val="0"/>
        <w:spacing w:before="76" w:lineRule="auto"/>
        <w:ind w:left="171" w:right="1248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Parágrafo Único- 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No caso de um dos sócios desejar retirar-se da sociedade, deverá notificar o outro (s) sócio (s) por escrito, com antecedência mínima de 60 (sessenta) dias, e ...... </w:t>
      </w:r>
    </w:p>
    <w:p w14:paraId="00000041">
      <w:pPr>
        <w:pageBreakBefore w:val="0"/>
        <w:spacing w:before="76" w:lineRule="auto"/>
        <w:ind w:left="171" w:right="1248"/>
        <w:jc w:val="both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u w:val="single"/>
        </w:rPr>
      </w:pPr>
      <w:r>
        <w:rPr>
          <w:rtl w:val="0"/>
        </w:rPr>
      </w:r>
    </w:p>
    <w:p w14:paraId="00000042">
      <w:pPr>
        <w:pageBreakBefore w:val="0"/>
        <w:spacing w:before="76" w:lineRule="auto"/>
        <w:ind w:left="171" w:right="1248"/>
        <w:jc w:val="both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highlight w:val="yellow"/>
          <w:u w:val="single"/>
          <w:rtl w:val="0"/>
        </w:rPr>
        <w:t xml:space="preserve">Sugestão</w:t>
      </w:r>
      <w:r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 - </w:t>
      </w:r>
      <w:r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seus haveres, apurados em balanço</w:t>
      </w:r>
    </w:p>
    <w:p w14:paraId="00000043">
      <w:pPr>
        <w:pageBreakBefore w:val="0"/>
        <w:spacing w:before="73" w:lineRule="auto"/>
        <w:ind w:left="111"/>
        <w:jc w:val="both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especial, serão pagos em 20 (vinte) prestações iguais e sucessivas, vencendo-se a primeira após 60 (sessenta) dias da data do balanço especial.</w:t>
      </w:r>
    </w:p>
    <w:p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46">
      <w:pPr>
        <w:pageBreakBefore w:val="0"/>
        <w:spacing w:before="98" w:lineRule="auto"/>
        <w:ind w:left="197" w:right="201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CLÁUSULA OITAVA – DA RESPONSABILIDADE PELAS OBRIGAÇÕES SOCIAIS (CC, ART. 997, VIII)</w:t>
      </w:r>
    </w:p>
    <w:p w14:paraId="00000047">
      <w:pPr>
        <w:pageBreakBefore w:val="0"/>
        <w:spacing w:before="98" w:lineRule="auto"/>
        <w:ind w:left="197" w:right="201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>
        <w:rPr>
          <w:rtl w:val="0"/>
        </w:rPr>
      </w:r>
    </w:p>
    <w:p w14:paraId="00000048">
      <w:pPr>
        <w:pageBreakBefore w:val="0"/>
        <w:ind w:left="142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  Os sócios não respondem subsidiariamente pelas obrigações sociais, mas tão-somente pelo   </w:t>
      </w:r>
    </w:p>
    <w:p w14:paraId="00000049">
      <w:pPr>
        <w:pageBreakBefore w:val="0"/>
        <w:ind w:left="142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  valor de sua cota de capital.</w:t>
      </w:r>
    </w:p>
    <w:p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4C">
      <w:pPr>
        <w:pageBreakBefore w:val="0"/>
        <w:spacing w:before="98" w:lineRule="auto"/>
        <w:ind w:left="197" w:right="201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CLÁUSULA NONA – DA CONTINUIDADE DA SOCIEDADE NO CASO DE FALECIMENTO</w:t>
      </w:r>
      <w:r>
        <w:rPr>
          <w:rtl w:val="0"/>
        </w:rPr>
      </w:r>
    </w:p>
    <w:p w14:paraId="0000004D">
      <w:pPr>
        <w:pageBreakBefore w:val="0"/>
        <w:spacing w:before="46" w:lineRule="auto"/>
        <w:ind w:left="111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>
        <w:rPr>
          <w:rtl w:val="0"/>
        </w:rPr>
      </w:r>
    </w:p>
    <w:p w14:paraId="0000004E">
      <w:pPr>
        <w:pageBreakBefore w:val="0"/>
        <w:spacing w:before="46" w:lineRule="auto"/>
        <w:ind w:left="111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u w:val="single"/>
          <w:rtl w:val="0"/>
        </w:rPr>
        <w:t xml:space="preserve">Sugestões:</w:t>
      </w:r>
      <w:r>
        <w:rPr>
          <w:rtl w:val="0"/>
        </w:rPr>
      </w:r>
    </w:p>
    <w:p w14:paraId="0000004F">
      <w:pPr>
        <w:pageBreakBefore w:val="0"/>
        <w:spacing w:before="85" w:lineRule="auto"/>
        <w:ind w:left="111" w:right="144"/>
        <w:jc w:val="both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Falecendo ou interditado qualquer sócio, a sociedade continuará suas atividades com os herdeiros, sucessores e o incapaz. Não sendo possível ou inexistindo interesse destes ou do(s) sócio(s) remanescente(s), o valor de seus haveres será apurado e liquidado com base na situação patrimonial da sociedade, à data da resolução, verificada em balanço especialmente levantado, e serão............</w:t>
      </w:r>
      <w:r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Sugestão - pagos em 20 (vinte) prestações iguais e sucessivas, vencendo-se a primeira após 60 (sessenta) dias da data do balanço especial.</w:t>
      </w:r>
    </w:p>
    <w:p w14:paraId="00000050">
      <w:pPr>
        <w:pageBreakBefore w:val="0"/>
        <w:spacing w:before="1" w:lineRule="auto"/>
        <w:ind w:left="111"/>
        <w:jc w:val="both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Obs. - Verificar demais opções entre os arts. 1028 ao 1038 da Lei 10.406/02</w:t>
      </w:r>
      <w:r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.</w:t>
      </w:r>
    </w:p>
    <w:p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52">
      <w:pPr>
        <w:pageBreakBefore w:val="0"/>
        <w:spacing w:before="99" w:lineRule="auto"/>
        <w:ind w:left="197" w:right="201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>
        <w:rPr>
          <w:rtl w:val="0"/>
        </w:rPr>
      </w:r>
    </w:p>
    <w:p w14:paraId="00000053">
      <w:pPr>
        <w:keepNext w:val="1"/>
        <w:pageBreakBefore w:val="0"/>
        <w:widowControl w:val="1"/>
        <w:ind w:left="142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CLÁUSULA DÉCIMA - DAS DELIBERAÇÕES SOCIAIS (CC, ART. 46, IV)</w:t>
      </w:r>
    </w:p>
    <w:p w14:paraId="00000054">
      <w:pPr>
        <w:pageBreakBefore w:val="0"/>
        <w:widowControl w:val="1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55">
      <w:pPr>
        <w:pageBreakBefore w:val="0"/>
        <w:widowControl w:val="1"/>
        <w:ind w:left="142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As alterações deste contrato dependerão da aprovação unânime dos sócios; outras deliberações sociais, inclusive, quanto a venda e oneração de imóveis, serão tomadas pela maioria absoluta de votos. </w:t>
      </w:r>
      <w:r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(Obs.: Se quiserem, os sócios poderão ajustar quorum maior que a maioria absoluta – 2/3, ¾,  etc. – como faculta o art. 999 do Código Civil.)</w:t>
      </w:r>
    </w:p>
    <w:p w14:paraId="00000056">
      <w:pPr>
        <w:pageBreakBefore w:val="0"/>
        <w:spacing w:before="99" w:lineRule="auto"/>
        <w:ind w:left="197" w:right="201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>
        <w:rPr>
          <w:rtl w:val="0"/>
        </w:rPr>
      </w:r>
    </w:p>
    <w:p w14:paraId="00000057">
      <w:pPr>
        <w:pStyle w:val="Heading1"/>
        <w:pageBreakBefore w:val="0"/>
        <w:spacing w:before="102" w:lineRule="auto"/>
        <w:ind w:left="197" w:right="211"/>
        <w:jc w:val="both"/>
        <w:rPr>
          <w:rFonts w:ascii="Calibri" w:cs="Calibri" w:eastAsia="Calibri" w:hAnsi="Calibri"/>
          <w:sz w:val="24"/>
          <w:szCs w:val="24"/>
          <w:u w:val="single"/>
        </w:rPr>
      </w:pPr>
      <w:r>
        <w:rPr>
          <w:rtl w:val="0"/>
        </w:rPr>
      </w:r>
    </w:p>
    <w:p w14:paraId="00000058">
      <w:pPr>
        <w:pStyle w:val="Heading1"/>
        <w:pageBreakBefore w:val="0"/>
        <w:spacing w:before="102" w:lineRule="auto"/>
        <w:ind w:left="197" w:right="211"/>
        <w:jc w:val="both"/>
        <w:rPr>
          <w:rFonts w:ascii="Calibri" w:cs="Calibri" w:eastAsia="Calibri" w:hAnsi="Calibri"/>
          <w:sz w:val="24"/>
          <w:szCs w:val="24"/>
          <w:u w:val="single"/>
        </w:rPr>
      </w:pPr>
      <w:r>
        <w:rPr>
          <w:rtl w:val="0"/>
        </w:rPr>
      </w:r>
    </w:p>
    <w:p w14:paraId="00000059">
      <w:pPr>
        <w:pStyle w:val="Heading1"/>
        <w:pageBreakBefore w:val="0"/>
        <w:spacing w:before="102" w:lineRule="auto"/>
        <w:ind w:left="197" w:right="211"/>
        <w:jc w:val="both"/>
        <w:rPr>
          <w:rFonts w:ascii="Calibri" w:cs="Calibri" w:eastAsia="Calibri" w:hAnsi="Calibri"/>
          <w:sz w:val="24"/>
          <w:szCs w:val="24"/>
          <w:u w:val="single"/>
        </w:rPr>
      </w:pPr>
      <w:r>
        <w:rPr>
          <w:rtl w:val="0"/>
        </w:rPr>
      </w:r>
    </w:p>
    <w:p w14:paraId="0000005A">
      <w:pPr>
        <w:pStyle w:val="Heading1"/>
        <w:pageBreakBefore w:val="0"/>
        <w:spacing w:before="102" w:lineRule="auto"/>
        <w:ind w:left="197" w:right="211"/>
        <w:jc w:val="both"/>
        <w:rPr>
          <w:rFonts w:ascii="Calibri" w:cs="Calibri" w:eastAsia="Calibri" w:hAnsi="Calibri"/>
          <w:sz w:val="24"/>
          <w:szCs w:val="24"/>
          <w:u w:val="single"/>
        </w:rPr>
      </w:pPr>
      <w:r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CLÁUSULA DÉCIMA PRIMEIRA – DA EXCLUSÃO DE SÓCIO</w:t>
      </w:r>
    </w:p>
    <w:p w14:paraId="0000005B">
      <w:pPr>
        <w:pStyle w:val="Heading1"/>
        <w:pageBreakBefore w:val="0"/>
        <w:spacing w:before="102" w:lineRule="auto"/>
        <w:ind w:left="197" w:right="211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11" w:right="14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decisão de quotista que representem a maioria do Capital Social, poderá ser determinada a exclusão por justa causa de sócios do quadro social, nos termos do artigo nº 1.085, da Lei 10.406/02.</w:t>
      </w:r>
    </w:p>
    <w:p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11" w:right="14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5E">
      <w:pPr>
        <w:pageBreakBefore w:val="0"/>
        <w:spacing w:before="99" w:lineRule="auto"/>
        <w:ind w:left="197" w:right="201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CLÁUSULA DÉCIMA SEGUNDA – DAS CONDIÇÕES DE EXTINÇÃO DA SOCIEDADE E O DESTINO DO SEU PATRIMÔNIO (CC, ART. 46, VI)</w:t>
      </w:r>
    </w:p>
    <w:p w14:paraId="0000005F">
      <w:pPr>
        <w:pageBreakBefore w:val="0"/>
        <w:spacing w:before="99" w:lineRule="auto"/>
        <w:ind w:left="197" w:right="201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sociedade se dissolverá nos termos do Código Civil, art. 1.033. O destino do patrimônio será deliberado por maioria dos sócios. (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ou outro quórum, a critério dos sócios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62">
      <w:pPr>
        <w:pStyle w:val="Heading1"/>
        <w:pageBreakBefore w:val="0"/>
        <w:spacing w:before="103" w:lineRule="auto"/>
        <w:ind w:left="197" w:right="230"/>
        <w:jc w:val="both"/>
        <w:rPr>
          <w:rFonts w:ascii="Calibri" w:cs="Calibri" w:eastAsia="Calibri" w:hAnsi="Calibri"/>
          <w:sz w:val="24"/>
          <w:szCs w:val="24"/>
          <w:u w:val="single"/>
        </w:rPr>
      </w:pPr>
      <w:r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CLÁUSULA DECIMA TERCEIRA – DISPOSIÇÕES GERAIS</w:t>
      </w:r>
    </w:p>
    <w:p w14:paraId="00000063">
      <w:pPr>
        <w:pStyle w:val="Heading1"/>
        <w:pageBreakBefore w:val="0"/>
        <w:spacing w:before="103" w:lineRule="auto"/>
        <w:ind w:left="197" w:right="230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111" w:right="10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Todos os casos omissos serão regulados pela Lei 10.406/02, ficando eleito o foro da cidade de 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Feira de Santana/BA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para dirimir, conhecer e decidir sobre quaisquer questões oriundas deste instrumento, excluindo-se qualquer outro por mais privilegiado que seja.</w:t>
      </w:r>
    </w:p>
    <w:p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1" w:right="128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por assim estarem justos e contratados, as partes assinam o presente instrumento de Contrato Social, em 03 (três) vias, de igual forma e teor, e será levado a registro no Registro Civil de Pessoa Jurídica, nos termos dos arts. 998 e 1.150, da Lei 10.406/02.</w:t>
      </w:r>
    </w:p>
    <w:p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12"/>
          <w:tab w:val="left" w:leader="none" w:pos="2155"/>
          <w:tab w:val="left" w:leader="none" w:pos="2848"/>
        </w:tabs>
        <w:spacing w:after="0" w:before="0" w:line="240" w:lineRule="auto"/>
        <w:ind w:left="197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Feira de Santana/BA, __/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/_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_</w:t>
        <w:tab/>
      </w:r>
      <w:r>
        <w:rPr>
          <w:rtl w:val="0"/>
        </w:rPr>
      </w:r>
    </w:p>
    <w:p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6B">
      <w:pPr>
        <w:pageBreakBefore w:val="0"/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Assinaturas com firma reconhecida dos sócios (semelhança ou autenticidade)</w:t>
      </w:r>
    </w:p>
    <w:p w14:paraId="0000006C">
      <w:pPr>
        <w:pageBreakBefore w:val="0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6D">
      <w:pPr>
        <w:pageBreakBefore w:val="0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6E">
      <w:pPr>
        <w:pageBreakBefore w:val="0"/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visto de advogado(a) e OAB (exceto se for microempresa ou empresa de pequeno porte, LC 123/2006)</w:t>
      </w:r>
    </w:p>
    <w:p w14:paraId="0000006F">
      <w:pPr>
        <w:pageBreakBefore w:val="0"/>
        <w:widowControl w:val="1"/>
        <w:spacing w:after="160" w:line="276" w:lineRule="auto"/>
        <w:ind w:left="-220" w:right="-220" w:firstLine="0"/>
        <w:jc w:val="both"/>
        <w:rPr>
          <w:b w:val="1"/>
          <w:bCs w:val="1"/>
          <w:color w:val="333333"/>
          <w:sz w:val="21"/>
          <w:szCs w:val="21"/>
        </w:rPr>
      </w:pPr>
      <w:r>
        <w:rPr>
          <w:rtl w:val="0"/>
        </w:rPr>
      </w:r>
    </w:p>
    <w:p w14:paraId="00000070">
      <w:pPr>
        <w:pageBreakBefore w:val="0"/>
        <w:widowControl w:val="1"/>
        <w:spacing w:after="160" w:line="276" w:lineRule="auto"/>
        <w:ind w:left="-220" w:right="-220" w:firstLine="0"/>
        <w:jc w:val="both"/>
        <w:rPr>
          <w:b w:val="1"/>
          <w:bCs w:val="1"/>
          <w:color w:val="333333"/>
          <w:sz w:val="21"/>
          <w:szCs w:val="21"/>
        </w:rPr>
      </w:pPr>
      <w:r>
        <w:rPr>
          <w:rtl w:val="0"/>
        </w:rPr>
      </w:r>
    </w:p>
    <w:p w14:paraId="00000071">
      <w:pPr>
        <w:pageBreakBefore w:val="0"/>
        <w:widowControl w:val="1"/>
        <w:spacing w:after="160" w:line="276" w:lineRule="auto"/>
        <w:ind w:left="-220" w:right="-220" w:firstLine="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>
        <w:rPr>
          <w:b w:val="1"/>
          <w:bCs w:val="1"/>
          <w:i w:val="1"/>
          <w:iCs w:val="1"/>
          <w:color w:val="333333"/>
          <w:sz w:val="21"/>
          <w:szCs w:val="21"/>
          <w:rtl w:val="0"/>
        </w:rPr>
        <w:t xml:space="preserve">obs.: [a assinatura pode ser eletrônica, com certificado digital - Código de Normas da Bahia, art. 707. Pode ser entregue no cartório o arquivo digital ou enviado pelo endereço eletrônico: atendimento@cartoriofsa.com.br]</w:t>
      </w:r>
      <w:r>
        <w:rPr>
          <w:rtl w:val="0"/>
        </w:rPr>
      </w:r>
    </w:p>
    <w:sectPr>
      <w:pgSz w:h="16840" w:w="11900" w:orient="portrait"/>
      <w:pgMar w:bottom="1134" w:top="1418" w:left="170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ind w:left="1176" w:right="1354"/>
      <w:jc w:val="center"/>
    </w:pPr>
    <w:rPr>
      <w:b w:val="1"/>
      <w:bCs w:val="1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